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F48B" w14:textId="77777777" w:rsidR="008A151D" w:rsidRDefault="008A151D" w:rsidP="008A151D">
      <w:pPr>
        <w:rPr>
          <w:lang w:bidi="ar-IQ"/>
        </w:rPr>
      </w:pPr>
      <w:r w:rsidRPr="003111A6">
        <w:rPr>
          <w:b/>
          <w:bCs/>
        </w:rPr>
        <w:t>College of administration and economics/ Wasit university</w:t>
      </w:r>
      <w:r>
        <w:rPr>
          <w:rFonts w:ascii="Poppins" w:eastAsia="Times New Roman" w:hAnsi="Poppins" w:cs="Poppins"/>
          <w:b/>
          <w:bCs/>
          <w:color w:val="243540"/>
          <w:kern w:val="0"/>
          <w:sz w:val="23"/>
          <w:szCs w:val="23"/>
          <w14:ligatures w14:val="none"/>
        </w:rPr>
        <w:t xml:space="preserve"> </w:t>
      </w:r>
      <w:r w:rsidRPr="00BF6064">
        <w:rPr>
          <w:b/>
          <w:bCs/>
        </w:rPr>
        <w:t>sustainable</w:t>
      </w:r>
      <w:r w:rsidRPr="002F064A">
        <w:rPr>
          <w:b/>
          <w:bCs/>
        </w:rPr>
        <w:t xml:space="preserve"> investment policy</w:t>
      </w:r>
    </w:p>
    <w:p w14:paraId="6B09B4CD" w14:textId="77777777" w:rsidR="001A5429" w:rsidRDefault="001A5429" w:rsidP="001A5429">
      <w:pPr>
        <w:spacing w:line="360" w:lineRule="auto"/>
        <w:jc w:val="both"/>
      </w:pPr>
      <w:r>
        <w:t xml:space="preserve">As we mentioned previously, in the CAE procurement policy, the sustainable investment policy sets the ground for making the campus's sustained objectives come true. This policy sets guidelines to facilitate the investment process and policies and control the outcomes that meet CAE standards toward sustainability. </w:t>
      </w:r>
    </w:p>
    <w:p w14:paraId="6E6A1BD9" w14:textId="77777777" w:rsidR="001A5429" w:rsidRDefault="001A5429" w:rsidP="001A5429">
      <w:pPr>
        <w:spacing w:line="360" w:lineRule="auto"/>
        <w:jc w:val="both"/>
      </w:pPr>
      <w:r>
        <w:t xml:space="preserve">The investment policy proscribed here has been formulated to be consistent with CAE regulations that meet its financial needs, considering the roles that the Ministry of Finance sets for investment and financial risk. The policies mentioned provide investors with guidelines for making investment decisions here at CAE. This policy has short- and long-term financial goals. As well as providing sufficient investment flexibility in the face of changing capital market conditions. This policy is reviewed at least once a year, and the affirmation of the majority of the CAE council can change the policy. </w:t>
      </w:r>
    </w:p>
    <w:p w14:paraId="77BB4BF0" w14:textId="77777777" w:rsidR="001A5429" w:rsidRDefault="001A5429" w:rsidP="001A5429">
      <w:pPr>
        <w:spacing w:line="360" w:lineRule="auto"/>
        <w:jc w:val="both"/>
      </w:pPr>
      <w:r>
        <w:t xml:space="preserve">The fund is to be invested to preserve long-term purposes. Also, to keep the real purchasing power of the assets. This aims to provide a predictable and growing stream of annual distribution supporting the CAE sustainability objectives.  </w:t>
      </w:r>
    </w:p>
    <w:p w14:paraId="675D3CFB" w14:textId="77777777" w:rsidR="001A5429" w:rsidRDefault="001A5429" w:rsidP="001A5429">
      <w:pPr>
        <w:spacing w:line="360" w:lineRule="auto"/>
        <w:jc w:val="both"/>
      </w:pPr>
      <w:r>
        <w:t xml:space="preserve">The current needs of investments related to sustainability in the CAE campus are not limited to Solar panels with different capacities put on the building’s roof. Another trajectory of investment would be to obtain special equipment measuring carbon emissions to know the exact amount of carbon emission that the CAE campus generates. </w:t>
      </w:r>
    </w:p>
    <w:p w14:paraId="5DD3FAF4" w14:textId="77777777" w:rsidR="008C1713" w:rsidRDefault="008C1713"/>
    <w:sectPr w:rsidR="008C1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A1"/>
    <w:rsid w:val="001A5429"/>
    <w:rsid w:val="004E03A1"/>
    <w:rsid w:val="008A151D"/>
    <w:rsid w:val="008C1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79621"/>
  <w15:chartTrackingRefBased/>
  <w15:docId w15:val="{EC7EE203-5A93-4701-B883-8709987D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1342</Characters>
  <Application>Microsoft Office Word</Application>
  <DocSecurity>0</DocSecurity>
  <Lines>18</Lines>
  <Paragraphs>5</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Karrar Al-Taie</dc:creator>
  <cp:keywords/>
  <dc:description/>
  <cp:lastModifiedBy>Karrar Al-Taie</cp:lastModifiedBy>
  <cp:revision>3</cp:revision>
  <dcterms:created xsi:type="dcterms:W3CDTF">2024-02-25T12:55:00Z</dcterms:created>
  <dcterms:modified xsi:type="dcterms:W3CDTF">2024-02-25T12:55:00Z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064c93bdf5b70306b2daf20da2c08394a45acc79bf9e4aeea7f4bb8e21c333d1</vt:lpwstr>
  </property>
</Properties>
</file>